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8000" w:type="dxa"/>
        <w:shd w:val="clear" w:color="auto" w:fill="FFFFFF"/>
        <w:tblCellMar>
          <w:top w:w="15" w:type="dxa"/>
          <w:left w:w="15" w:type="dxa"/>
          <w:bottom w:w="15" w:type="dxa"/>
          <w:right w:w="15" w:type="dxa"/>
        </w:tblCellMar>
        <w:tblLook w:val="04A0" w:firstRow="1" w:lastRow="0" w:firstColumn="1" w:lastColumn="0" w:noHBand="0" w:noVBand="1"/>
      </w:tblPr>
      <w:tblGrid>
        <w:gridCol w:w="1800"/>
        <w:gridCol w:w="4125"/>
        <w:gridCol w:w="1800"/>
        <w:gridCol w:w="10275"/>
      </w:tblGrid>
      <w:tr w:rsidR="00824FA8" w:rsidRPr="00824FA8" w14:paraId="7F97BD80" w14:textId="77777777" w:rsidTr="00824FA8">
        <w:tc>
          <w:tcPr>
            <w:tcW w:w="1800" w:type="dxa"/>
            <w:tcBorders>
              <w:top w:val="single" w:sz="6" w:space="0" w:color="E6E6E6"/>
              <w:left w:val="single" w:sz="6" w:space="0" w:color="E6E6E6"/>
              <w:bottom w:val="single" w:sz="6" w:space="0" w:color="E6E6E6"/>
              <w:right w:val="single" w:sz="6" w:space="0" w:color="E6E6E6"/>
            </w:tcBorders>
            <w:shd w:val="clear" w:color="auto" w:fill="FFFFFF"/>
            <w:tcMar>
              <w:top w:w="135" w:type="dxa"/>
              <w:left w:w="225" w:type="dxa"/>
              <w:bottom w:w="135" w:type="dxa"/>
              <w:right w:w="225" w:type="dxa"/>
            </w:tcMar>
            <w:vAlign w:val="center"/>
            <w:hideMark/>
          </w:tcPr>
          <w:p w14:paraId="30A9C213" w14:textId="77777777" w:rsidR="00824FA8" w:rsidRPr="00824FA8" w:rsidRDefault="00824FA8" w:rsidP="00824FA8">
            <w:pPr>
              <w:widowControl/>
              <w:spacing w:line="300" w:lineRule="atLeast"/>
              <w:jc w:val="right"/>
              <w:rPr>
                <w:rFonts w:ascii="宋体" w:eastAsia="宋体" w:hAnsi="宋体" w:cs="宋体"/>
                <w:color w:val="666666"/>
                <w:kern w:val="0"/>
                <w:szCs w:val="21"/>
              </w:rPr>
            </w:pPr>
            <w:r w:rsidRPr="00824FA8">
              <w:rPr>
                <w:rFonts w:ascii="宋体" w:eastAsia="宋体" w:hAnsi="宋体" w:cs="宋体"/>
                <w:b/>
                <w:bCs/>
                <w:color w:val="666666"/>
                <w:kern w:val="0"/>
                <w:szCs w:val="21"/>
              </w:rPr>
              <w:t>索 引 号：</w:t>
            </w:r>
          </w:p>
        </w:tc>
        <w:tc>
          <w:tcPr>
            <w:tcW w:w="4125" w:type="dxa"/>
            <w:tcBorders>
              <w:top w:val="single" w:sz="6" w:space="0" w:color="E6E6E6"/>
              <w:left w:val="single" w:sz="6" w:space="0" w:color="E6E6E6"/>
              <w:bottom w:val="single" w:sz="6" w:space="0" w:color="E6E6E6"/>
              <w:right w:val="single" w:sz="6" w:space="0" w:color="E6E6E6"/>
            </w:tcBorders>
            <w:shd w:val="clear" w:color="auto" w:fill="FFFFFF"/>
            <w:tcMar>
              <w:top w:w="135" w:type="dxa"/>
              <w:left w:w="75" w:type="dxa"/>
              <w:bottom w:w="135" w:type="dxa"/>
              <w:right w:w="225" w:type="dxa"/>
            </w:tcMar>
            <w:vAlign w:val="center"/>
            <w:hideMark/>
          </w:tcPr>
          <w:p w14:paraId="7B871ED7" w14:textId="77777777" w:rsidR="00824FA8" w:rsidRPr="00824FA8" w:rsidRDefault="00824FA8" w:rsidP="00824FA8">
            <w:pPr>
              <w:widowControl/>
              <w:spacing w:line="300" w:lineRule="atLeast"/>
              <w:jc w:val="left"/>
              <w:rPr>
                <w:rFonts w:ascii="宋体" w:eastAsia="宋体" w:hAnsi="宋体" w:cs="宋体"/>
                <w:color w:val="666666"/>
                <w:kern w:val="0"/>
                <w:szCs w:val="21"/>
              </w:rPr>
            </w:pPr>
            <w:r w:rsidRPr="00824FA8">
              <w:rPr>
                <w:rFonts w:ascii="宋体" w:eastAsia="宋体" w:hAnsi="宋体" w:cs="宋体"/>
                <w:color w:val="666666"/>
                <w:kern w:val="0"/>
                <w:szCs w:val="21"/>
              </w:rPr>
              <w:t>000014349/2020-2407613</w:t>
            </w:r>
          </w:p>
        </w:tc>
        <w:tc>
          <w:tcPr>
            <w:tcW w:w="1800" w:type="dxa"/>
            <w:tcBorders>
              <w:top w:val="single" w:sz="6" w:space="0" w:color="E6E6E6"/>
              <w:left w:val="single" w:sz="6" w:space="0" w:color="E6E6E6"/>
              <w:bottom w:val="single" w:sz="6" w:space="0" w:color="E6E6E6"/>
              <w:right w:val="single" w:sz="6" w:space="0" w:color="E6E6E6"/>
            </w:tcBorders>
            <w:shd w:val="clear" w:color="auto" w:fill="FFFFFF"/>
            <w:tcMar>
              <w:top w:w="135" w:type="dxa"/>
              <w:left w:w="225" w:type="dxa"/>
              <w:bottom w:w="135" w:type="dxa"/>
              <w:right w:w="225" w:type="dxa"/>
            </w:tcMar>
            <w:vAlign w:val="center"/>
            <w:hideMark/>
          </w:tcPr>
          <w:p w14:paraId="09B70EB0" w14:textId="77777777" w:rsidR="00824FA8" w:rsidRPr="00824FA8" w:rsidRDefault="00824FA8" w:rsidP="00824FA8">
            <w:pPr>
              <w:widowControl/>
              <w:spacing w:line="300" w:lineRule="atLeast"/>
              <w:jc w:val="right"/>
              <w:rPr>
                <w:rFonts w:ascii="宋体" w:eastAsia="宋体" w:hAnsi="宋体" w:cs="宋体"/>
                <w:color w:val="666666"/>
                <w:kern w:val="0"/>
                <w:szCs w:val="21"/>
              </w:rPr>
            </w:pPr>
            <w:r w:rsidRPr="00824FA8">
              <w:rPr>
                <w:rFonts w:ascii="宋体" w:eastAsia="宋体" w:hAnsi="宋体" w:cs="宋体"/>
                <w:b/>
                <w:bCs/>
                <w:color w:val="666666"/>
                <w:kern w:val="0"/>
                <w:szCs w:val="21"/>
              </w:rPr>
              <w:t>信息分类：</w:t>
            </w:r>
          </w:p>
        </w:tc>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75" w:type="dxa"/>
              <w:bottom w:w="135" w:type="dxa"/>
              <w:right w:w="225" w:type="dxa"/>
            </w:tcMar>
            <w:vAlign w:val="center"/>
            <w:hideMark/>
          </w:tcPr>
          <w:p w14:paraId="4EBB3973" w14:textId="77777777" w:rsidR="00824FA8" w:rsidRPr="00824FA8" w:rsidRDefault="00824FA8" w:rsidP="00824FA8">
            <w:pPr>
              <w:widowControl/>
              <w:spacing w:line="300" w:lineRule="atLeast"/>
              <w:jc w:val="left"/>
              <w:rPr>
                <w:rFonts w:ascii="宋体" w:eastAsia="宋体" w:hAnsi="宋体" w:cs="宋体"/>
                <w:color w:val="666666"/>
                <w:kern w:val="0"/>
                <w:szCs w:val="21"/>
              </w:rPr>
            </w:pPr>
            <w:r w:rsidRPr="00824FA8">
              <w:rPr>
                <w:rFonts w:ascii="宋体" w:eastAsia="宋体" w:hAnsi="宋体" w:cs="宋体"/>
                <w:color w:val="666666"/>
                <w:kern w:val="0"/>
                <w:szCs w:val="21"/>
              </w:rPr>
              <w:t>政策文件</w:t>
            </w:r>
          </w:p>
        </w:tc>
      </w:tr>
      <w:tr w:rsidR="00824FA8" w:rsidRPr="00824FA8" w14:paraId="3EC06E9E" w14:textId="77777777" w:rsidTr="00824FA8">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225" w:type="dxa"/>
              <w:bottom w:w="135" w:type="dxa"/>
              <w:right w:w="225" w:type="dxa"/>
            </w:tcMar>
            <w:vAlign w:val="center"/>
            <w:hideMark/>
          </w:tcPr>
          <w:p w14:paraId="7B4DD7B3" w14:textId="77777777" w:rsidR="00824FA8" w:rsidRPr="00824FA8" w:rsidRDefault="00824FA8" w:rsidP="00824FA8">
            <w:pPr>
              <w:widowControl/>
              <w:spacing w:line="300" w:lineRule="atLeast"/>
              <w:jc w:val="right"/>
              <w:rPr>
                <w:rFonts w:ascii="宋体" w:eastAsia="宋体" w:hAnsi="宋体" w:cs="宋体"/>
                <w:color w:val="666666"/>
                <w:kern w:val="0"/>
                <w:szCs w:val="21"/>
              </w:rPr>
            </w:pPr>
            <w:r w:rsidRPr="00824FA8">
              <w:rPr>
                <w:rFonts w:ascii="宋体" w:eastAsia="宋体" w:hAnsi="宋体" w:cs="宋体"/>
                <w:b/>
                <w:bCs/>
                <w:color w:val="666666"/>
                <w:kern w:val="0"/>
                <w:szCs w:val="21"/>
              </w:rPr>
              <w:t>发布机构：</w:t>
            </w:r>
          </w:p>
        </w:tc>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75" w:type="dxa"/>
              <w:bottom w:w="135" w:type="dxa"/>
              <w:right w:w="225" w:type="dxa"/>
            </w:tcMar>
            <w:vAlign w:val="center"/>
            <w:hideMark/>
          </w:tcPr>
          <w:p w14:paraId="7458E622" w14:textId="77777777" w:rsidR="00824FA8" w:rsidRPr="00824FA8" w:rsidRDefault="00824FA8" w:rsidP="00824FA8">
            <w:pPr>
              <w:widowControl/>
              <w:spacing w:line="300" w:lineRule="atLeast"/>
              <w:jc w:val="right"/>
              <w:rPr>
                <w:rFonts w:ascii="宋体" w:eastAsia="宋体" w:hAnsi="宋体" w:cs="宋体"/>
                <w:color w:val="666666"/>
                <w:kern w:val="0"/>
                <w:szCs w:val="21"/>
              </w:rPr>
            </w:pPr>
          </w:p>
        </w:tc>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225" w:type="dxa"/>
              <w:bottom w:w="135" w:type="dxa"/>
              <w:right w:w="225" w:type="dxa"/>
            </w:tcMar>
            <w:vAlign w:val="center"/>
            <w:hideMark/>
          </w:tcPr>
          <w:p w14:paraId="1181AD27" w14:textId="77777777" w:rsidR="00824FA8" w:rsidRPr="00824FA8" w:rsidRDefault="00824FA8" w:rsidP="00824FA8">
            <w:pPr>
              <w:widowControl/>
              <w:spacing w:line="300" w:lineRule="atLeast"/>
              <w:jc w:val="right"/>
              <w:rPr>
                <w:rFonts w:ascii="宋体" w:eastAsia="宋体" w:hAnsi="宋体" w:cs="宋体"/>
                <w:color w:val="666666"/>
                <w:kern w:val="0"/>
                <w:szCs w:val="21"/>
              </w:rPr>
            </w:pPr>
            <w:r w:rsidRPr="00824FA8">
              <w:rPr>
                <w:rFonts w:ascii="宋体" w:eastAsia="宋体" w:hAnsi="宋体" w:cs="宋体"/>
                <w:b/>
                <w:bCs/>
                <w:color w:val="666666"/>
                <w:kern w:val="0"/>
                <w:szCs w:val="21"/>
              </w:rPr>
              <w:t>公开日期：</w:t>
            </w:r>
          </w:p>
        </w:tc>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75" w:type="dxa"/>
              <w:bottom w:w="135" w:type="dxa"/>
              <w:right w:w="225" w:type="dxa"/>
            </w:tcMar>
            <w:vAlign w:val="center"/>
            <w:hideMark/>
          </w:tcPr>
          <w:p w14:paraId="36DC5BF4" w14:textId="77777777" w:rsidR="00824FA8" w:rsidRPr="00824FA8" w:rsidRDefault="00824FA8" w:rsidP="00824FA8">
            <w:pPr>
              <w:widowControl/>
              <w:spacing w:line="300" w:lineRule="atLeast"/>
              <w:jc w:val="left"/>
              <w:rPr>
                <w:rFonts w:ascii="宋体" w:eastAsia="宋体" w:hAnsi="宋体" w:cs="宋体"/>
                <w:color w:val="666666"/>
                <w:kern w:val="0"/>
                <w:szCs w:val="21"/>
              </w:rPr>
            </w:pPr>
            <w:r w:rsidRPr="00824FA8">
              <w:rPr>
                <w:rFonts w:ascii="宋体" w:eastAsia="宋体" w:hAnsi="宋体" w:cs="宋体"/>
                <w:color w:val="666666"/>
                <w:kern w:val="0"/>
                <w:szCs w:val="21"/>
              </w:rPr>
              <w:t>2017-07-26 15:26:00</w:t>
            </w:r>
          </w:p>
        </w:tc>
      </w:tr>
      <w:tr w:rsidR="00824FA8" w:rsidRPr="00824FA8" w14:paraId="1970DA98" w14:textId="77777777" w:rsidTr="00824FA8">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225" w:type="dxa"/>
              <w:bottom w:w="135" w:type="dxa"/>
              <w:right w:w="225" w:type="dxa"/>
            </w:tcMar>
            <w:vAlign w:val="center"/>
            <w:hideMark/>
          </w:tcPr>
          <w:p w14:paraId="7760681B" w14:textId="77777777" w:rsidR="00824FA8" w:rsidRPr="00824FA8" w:rsidRDefault="00824FA8" w:rsidP="00824FA8">
            <w:pPr>
              <w:widowControl/>
              <w:spacing w:line="300" w:lineRule="atLeast"/>
              <w:jc w:val="right"/>
              <w:rPr>
                <w:rFonts w:ascii="宋体" w:eastAsia="宋体" w:hAnsi="宋体" w:cs="宋体"/>
                <w:color w:val="666666"/>
                <w:kern w:val="0"/>
                <w:szCs w:val="21"/>
              </w:rPr>
            </w:pPr>
            <w:r w:rsidRPr="00824FA8">
              <w:rPr>
                <w:rFonts w:ascii="宋体" w:eastAsia="宋体" w:hAnsi="宋体" w:cs="宋体"/>
                <w:b/>
                <w:bCs/>
                <w:color w:val="666666"/>
                <w:kern w:val="0"/>
                <w:szCs w:val="21"/>
              </w:rPr>
              <w:t>文　　号：</w:t>
            </w:r>
          </w:p>
        </w:tc>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75" w:type="dxa"/>
              <w:bottom w:w="135" w:type="dxa"/>
              <w:right w:w="225" w:type="dxa"/>
            </w:tcMar>
            <w:vAlign w:val="center"/>
            <w:hideMark/>
          </w:tcPr>
          <w:p w14:paraId="4886C34D" w14:textId="77777777" w:rsidR="00824FA8" w:rsidRPr="00824FA8" w:rsidRDefault="00824FA8" w:rsidP="00824FA8">
            <w:pPr>
              <w:widowControl/>
              <w:spacing w:line="300" w:lineRule="atLeast"/>
              <w:jc w:val="right"/>
              <w:rPr>
                <w:rFonts w:ascii="宋体" w:eastAsia="宋体" w:hAnsi="宋体" w:cs="宋体"/>
                <w:color w:val="666666"/>
                <w:kern w:val="0"/>
                <w:szCs w:val="21"/>
              </w:rPr>
            </w:pPr>
          </w:p>
        </w:tc>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225" w:type="dxa"/>
              <w:bottom w:w="135" w:type="dxa"/>
              <w:right w:w="225" w:type="dxa"/>
            </w:tcMar>
            <w:vAlign w:val="center"/>
            <w:hideMark/>
          </w:tcPr>
          <w:p w14:paraId="74FF4599" w14:textId="77777777" w:rsidR="00824FA8" w:rsidRPr="00824FA8" w:rsidRDefault="00824FA8" w:rsidP="00824FA8">
            <w:pPr>
              <w:widowControl/>
              <w:spacing w:line="300" w:lineRule="atLeast"/>
              <w:jc w:val="right"/>
              <w:rPr>
                <w:rFonts w:ascii="宋体" w:eastAsia="宋体" w:hAnsi="宋体" w:cs="宋体"/>
                <w:color w:val="666666"/>
                <w:kern w:val="0"/>
                <w:szCs w:val="21"/>
              </w:rPr>
            </w:pPr>
            <w:r w:rsidRPr="00824FA8">
              <w:rPr>
                <w:rFonts w:ascii="宋体" w:eastAsia="宋体" w:hAnsi="宋体" w:cs="宋体"/>
                <w:b/>
                <w:bCs/>
                <w:color w:val="666666"/>
                <w:kern w:val="0"/>
                <w:szCs w:val="21"/>
              </w:rPr>
              <w:t>是否有效：</w:t>
            </w:r>
          </w:p>
        </w:tc>
        <w:tc>
          <w:tcPr>
            <w:tcW w:w="0" w:type="auto"/>
            <w:tcBorders>
              <w:top w:val="single" w:sz="6" w:space="0" w:color="E6E6E6"/>
              <w:left w:val="single" w:sz="6" w:space="0" w:color="E6E6E6"/>
              <w:bottom w:val="single" w:sz="6" w:space="0" w:color="E6E6E6"/>
              <w:right w:val="single" w:sz="6" w:space="0" w:color="E6E6E6"/>
            </w:tcBorders>
            <w:shd w:val="clear" w:color="auto" w:fill="FFFFFF"/>
            <w:tcMar>
              <w:top w:w="135" w:type="dxa"/>
              <w:left w:w="75" w:type="dxa"/>
              <w:bottom w:w="135" w:type="dxa"/>
              <w:right w:w="225" w:type="dxa"/>
            </w:tcMar>
            <w:vAlign w:val="center"/>
            <w:hideMark/>
          </w:tcPr>
          <w:p w14:paraId="001DFC9E" w14:textId="77777777" w:rsidR="00824FA8" w:rsidRPr="00824FA8" w:rsidRDefault="00824FA8" w:rsidP="00824FA8">
            <w:pPr>
              <w:widowControl/>
              <w:spacing w:line="300" w:lineRule="atLeast"/>
              <w:jc w:val="left"/>
              <w:rPr>
                <w:rFonts w:ascii="宋体" w:eastAsia="宋体" w:hAnsi="宋体" w:cs="宋体"/>
                <w:color w:val="666666"/>
                <w:kern w:val="0"/>
                <w:szCs w:val="21"/>
              </w:rPr>
            </w:pPr>
            <w:r w:rsidRPr="00824FA8">
              <w:rPr>
                <w:rFonts w:ascii="宋体" w:eastAsia="宋体" w:hAnsi="宋体" w:cs="宋体"/>
                <w:color w:val="666666"/>
                <w:kern w:val="0"/>
                <w:szCs w:val="21"/>
              </w:rPr>
              <w:t>是</w:t>
            </w:r>
          </w:p>
        </w:tc>
      </w:tr>
      <w:tr w:rsidR="00824FA8" w:rsidRPr="00824FA8" w14:paraId="287B99B4" w14:textId="77777777" w:rsidTr="00824FA8">
        <w:tc>
          <w:tcPr>
            <w:tcW w:w="1200" w:type="dxa"/>
            <w:tcBorders>
              <w:top w:val="single" w:sz="6" w:space="0" w:color="E6E6E6"/>
              <w:left w:val="single" w:sz="6" w:space="0" w:color="E6E6E6"/>
              <w:bottom w:val="single" w:sz="6" w:space="0" w:color="E6E6E6"/>
              <w:right w:val="single" w:sz="6" w:space="0" w:color="E6E6E6"/>
            </w:tcBorders>
            <w:shd w:val="clear" w:color="auto" w:fill="FFFFFF"/>
            <w:tcMar>
              <w:top w:w="135" w:type="dxa"/>
              <w:left w:w="225" w:type="dxa"/>
              <w:bottom w:w="135" w:type="dxa"/>
              <w:right w:w="225" w:type="dxa"/>
            </w:tcMar>
            <w:vAlign w:val="center"/>
            <w:hideMark/>
          </w:tcPr>
          <w:p w14:paraId="197EBE9B" w14:textId="77777777" w:rsidR="00824FA8" w:rsidRPr="00824FA8" w:rsidRDefault="00824FA8" w:rsidP="00824FA8">
            <w:pPr>
              <w:widowControl/>
              <w:spacing w:line="300" w:lineRule="atLeast"/>
              <w:jc w:val="right"/>
              <w:rPr>
                <w:rFonts w:ascii="宋体" w:eastAsia="宋体" w:hAnsi="宋体" w:cs="宋体"/>
                <w:color w:val="666666"/>
                <w:kern w:val="0"/>
                <w:szCs w:val="21"/>
              </w:rPr>
            </w:pPr>
            <w:r w:rsidRPr="00824FA8">
              <w:rPr>
                <w:rFonts w:ascii="宋体" w:eastAsia="宋体" w:hAnsi="宋体" w:cs="宋体"/>
                <w:b/>
                <w:bCs/>
                <w:color w:val="666666"/>
                <w:kern w:val="0"/>
                <w:szCs w:val="21"/>
              </w:rPr>
              <w:t>成文日期：</w:t>
            </w:r>
          </w:p>
        </w:tc>
        <w:tc>
          <w:tcPr>
            <w:tcW w:w="0" w:type="auto"/>
            <w:gridSpan w:val="3"/>
            <w:tcBorders>
              <w:top w:val="single" w:sz="6" w:space="0" w:color="E6E6E6"/>
              <w:left w:val="single" w:sz="6" w:space="0" w:color="E6E6E6"/>
              <w:bottom w:val="single" w:sz="6" w:space="0" w:color="E6E6E6"/>
              <w:right w:val="single" w:sz="6" w:space="0" w:color="E6E6E6"/>
            </w:tcBorders>
            <w:shd w:val="clear" w:color="auto" w:fill="FFFFFF"/>
            <w:tcMar>
              <w:top w:w="135" w:type="dxa"/>
              <w:left w:w="75" w:type="dxa"/>
              <w:bottom w:w="135" w:type="dxa"/>
              <w:right w:w="225" w:type="dxa"/>
            </w:tcMar>
            <w:vAlign w:val="center"/>
            <w:hideMark/>
          </w:tcPr>
          <w:p w14:paraId="2E6309CC" w14:textId="77777777" w:rsidR="00824FA8" w:rsidRPr="00824FA8" w:rsidRDefault="00824FA8" w:rsidP="00824FA8">
            <w:pPr>
              <w:widowControl/>
              <w:spacing w:line="300" w:lineRule="atLeast"/>
              <w:jc w:val="left"/>
              <w:rPr>
                <w:rFonts w:ascii="宋体" w:eastAsia="宋体" w:hAnsi="宋体" w:cs="宋体"/>
                <w:color w:val="666666"/>
                <w:kern w:val="0"/>
                <w:szCs w:val="21"/>
              </w:rPr>
            </w:pPr>
            <w:r w:rsidRPr="00824FA8">
              <w:rPr>
                <w:rFonts w:ascii="宋体" w:eastAsia="宋体" w:hAnsi="宋体" w:cs="宋体"/>
                <w:color w:val="666666"/>
                <w:kern w:val="0"/>
                <w:szCs w:val="21"/>
              </w:rPr>
              <w:t>2017-07-26 15:26:00</w:t>
            </w:r>
          </w:p>
        </w:tc>
      </w:tr>
      <w:tr w:rsidR="00824FA8" w:rsidRPr="00824FA8" w14:paraId="7B73EFE8" w14:textId="77777777" w:rsidTr="00824FA8">
        <w:tc>
          <w:tcPr>
            <w:tcW w:w="1200" w:type="dxa"/>
            <w:tcBorders>
              <w:top w:val="single" w:sz="6" w:space="0" w:color="E6E6E6"/>
              <w:left w:val="single" w:sz="6" w:space="0" w:color="E6E6E6"/>
              <w:bottom w:val="single" w:sz="6" w:space="0" w:color="E6E6E6"/>
              <w:right w:val="single" w:sz="6" w:space="0" w:color="E6E6E6"/>
            </w:tcBorders>
            <w:shd w:val="clear" w:color="auto" w:fill="FFFFFF"/>
            <w:tcMar>
              <w:top w:w="135" w:type="dxa"/>
              <w:left w:w="225" w:type="dxa"/>
              <w:bottom w:w="135" w:type="dxa"/>
              <w:right w:w="225" w:type="dxa"/>
            </w:tcMar>
            <w:vAlign w:val="center"/>
            <w:hideMark/>
          </w:tcPr>
          <w:p w14:paraId="28C45C18" w14:textId="77777777" w:rsidR="00824FA8" w:rsidRPr="00824FA8" w:rsidRDefault="00824FA8" w:rsidP="00824FA8">
            <w:pPr>
              <w:widowControl/>
              <w:spacing w:line="300" w:lineRule="atLeast"/>
              <w:jc w:val="right"/>
              <w:rPr>
                <w:rFonts w:ascii="宋体" w:eastAsia="宋体" w:hAnsi="宋体" w:cs="宋体"/>
                <w:color w:val="666666"/>
                <w:kern w:val="0"/>
                <w:szCs w:val="21"/>
              </w:rPr>
            </w:pPr>
            <w:r w:rsidRPr="00824FA8">
              <w:rPr>
                <w:rFonts w:ascii="宋体" w:eastAsia="宋体" w:hAnsi="宋体" w:cs="宋体"/>
                <w:b/>
                <w:bCs/>
                <w:color w:val="666666"/>
                <w:kern w:val="0"/>
                <w:szCs w:val="21"/>
              </w:rPr>
              <w:t>名　　称：</w:t>
            </w:r>
          </w:p>
        </w:tc>
        <w:tc>
          <w:tcPr>
            <w:tcW w:w="0" w:type="auto"/>
            <w:gridSpan w:val="3"/>
            <w:tcBorders>
              <w:top w:val="single" w:sz="6" w:space="0" w:color="E6E6E6"/>
              <w:left w:val="single" w:sz="6" w:space="0" w:color="E6E6E6"/>
              <w:bottom w:val="single" w:sz="6" w:space="0" w:color="E6E6E6"/>
              <w:right w:val="single" w:sz="6" w:space="0" w:color="E6E6E6"/>
            </w:tcBorders>
            <w:shd w:val="clear" w:color="auto" w:fill="FFFFFF"/>
            <w:tcMar>
              <w:top w:w="135" w:type="dxa"/>
              <w:left w:w="75" w:type="dxa"/>
              <w:bottom w:w="135" w:type="dxa"/>
              <w:right w:w="225" w:type="dxa"/>
            </w:tcMar>
            <w:vAlign w:val="center"/>
            <w:hideMark/>
          </w:tcPr>
          <w:p w14:paraId="100DC60F" w14:textId="77777777" w:rsidR="00824FA8" w:rsidRPr="00824FA8" w:rsidRDefault="00824FA8" w:rsidP="00824FA8">
            <w:pPr>
              <w:widowControl/>
              <w:spacing w:line="300" w:lineRule="atLeast"/>
              <w:jc w:val="left"/>
              <w:rPr>
                <w:rFonts w:ascii="宋体" w:eastAsia="宋体" w:hAnsi="宋体" w:cs="宋体"/>
                <w:color w:val="666666"/>
                <w:kern w:val="0"/>
                <w:szCs w:val="21"/>
              </w:rPr>
            </w:pPr>
            <w:r w:rsidRPr="00824FA8">
              <w:rPr>
                <w:rFonts w:ascii="宋体" w:eastAsia="宋体" w:hAnsi="宋体" w:cs="宋体"/>
                <w:color w:val="666666"/>
                <w:kern w:val="0"/>
                <w:szCs w:val="21"/>
              </w:rPr>
              <w:t>省政府办公厅印发贵州省促进天然饮用水产业加快发展的意见</w:t>
            </w:r>
          </w:p>
        </w:tc>
      </w:tr>
    </w:tbl>
    <w:p w14:paraId="29C79BE8" w14:textId="77777777" w:rsidR="00824FA8" w:rsidRPr="00824FA8" w:rsidRDefault="00824FA8" w:rsidP="00824FA8">
      <w:pPr>
        <w:widowControl/>
        <w:wordWrap w:val="0"/>
        <w:jc w:val="center"/>
        <w:rPr>
          <w:rFonts w:ascii="微软雅黑" w:eastAsia="微软雅黑" w:hAnsi="微软雅黑" w:cs="宋体"/>
          <w:color w:val="000000"/>
          <w:kern w:val="0"/>
          <w:sz w:val="36"/>
          <w:szCs w:val="36"/>
        </w:rPr>
      </w:pPr>
      <w:r w:rsidRPr="00824FA8">
        <w:rPr>
          <w:rFonts w:ascii="微软雅黑" w:eastAsia="微软雅黑" w:hAnsi="微软雅黑" w:cs="宋体" w:hint="eastAsia"/>
          <w:color w:val="000000"/>
          <w:kern w:val="0"/>
          <w:sz w:val="36"/>
          <w:szCs w:val="36"/>
        </w:rPr>
        <w:t>省政府办公厅印发贵州省促进天然饮用水产业加快发展的意见</w:t>
      </w:r>
    </w:p>
    <w:p w14:paraId="69B4DA3C" w14:textId="77777777" w:rsidR="00824FA8" w:rsidRPr="00824FA8" w:rsidRDefault="00824FA8" w:rsidP="00824FA8">
      <w:pPr>
        <w:widowControl/>
        <w:wordWrap w:val="0"/>
        <w:jc w:val="center"/>
        <w:rPr>
          <w:rFonts w:ascii="微软雅黑" w:eastAsia="微软雅黑" w:hAnsi="微软雅黑" w:cs="宋体" w:hint="eastAsia"/>
          <w:color w:val="888888"/>
          <w:kern w:val="0"/>
          <w:sz w:val="18"/>
          <w:szCs w:val="18"/>
        </w:rPr>
      </w:pPr>
      <w:r w:rsidRPr="00824FA8">
        <w:rPr>
          <w:rFonts w:ascii="微软雅黑" w:eastAsia="微软雅黑" w:hAnsi="微软雅黑" w:cs="宋体" w:hint="eastAsia"/>
          <w:color w:val="888888"/>
          <w:kern w:val="0"/>
          <w:sz w:val="18"/>
          <w:szCs w:val="18"/>
        </w:rPr>
        <w:t>日期：2017-07-26 15:26:00</w:t>
      </w:r>
      <w:r w:rsidRPr="00824FA8">
        <w:rPr>
          <w:rFonts w:ascii="微软雅黑" w:eastAsia="微软雅黑" w:hAnsi="微软雅黑" w:cs="宋体" w:hint="eastAsia"/>
          <w:color w:val="888888"/>
          <w:kern w:val="0"/>
          <w:sz w:val="18"/>
          <w:szCs w:val="18"/>
        </w:rPr>
        <w:t> </w:t>
      </w:r>
      <w:r w:rsidRPr="00824FA8">
        <w:rPr>
          <w:rFonts w:ascii="微软雅黑" w:eastAsia="微软雅黑" w:hAnsi="微软雅黑" w:cs="宋体" w:hint="eastAsia"/>
          <w:color w:val="888888"/>
          <w:kern w:val="0"/>
          <w:sz w:val="18"/>
          <w:szCs w:val="18"/>
        </w:rPr>
        <w:t> 来源：贵州省发展改革委</w:t>
      </w:r>
      <w:r w:rsidRPr="00824FA8">
        <w:rPr>
          <w:rFonts w:ascii="微软雅黑" w:eastAsia="微软雅黑" w:hAnsi="微软雅黑" w:cs="宋体" w:hint="eastAsia"/>
          <w:color w:val="888888"/>
          <w:kern w:val="0"/>
          <w:sz w:val="18"/>
          <w:szCs w:val="18"/>
        </w:rPr>
        <w:t> </w:t>
      </w:r>
      <w:r w:rsidRPr="00824FA8">
        <w:rPr>
          <w:rFonts w:ascii="微软雅黑" w:eastAsia="微软雅黑" w:hAnsi="微软雅黑" w:cs="宋体" w:hint="eastAsia"/>
          <w:color w:val="888888"/>
          <w:kern w:val="0"/>
          <w:sz w:val="18"/>
          <w:szCs w:val="18"/>
        </w:rPr>
        <w:t> 浏览量：194次 </w:t>
      </w:r>
      <w:r w:rsidRPr="00824FA8">
        <w:rPr>
          <w:rFonts w:ascii="微软雅黑" w:eastAsia="微软雅黑" w:hAnsi="微软雅黑" w:cs="宋体" w:hint="eastAsia"/>
          <w:color w:val="888888"/>
          <w:kern w:val="0"/>
          <w:sz w:val="18"/>
          <w:szCs w:val="18"/>
        </w:rPr>
        <w:t> </w:t>
      </w:r>
      <w:r w:rsidRPr="00824FA8">
        <w:rPr>
          <w:rFonts w:ascii="微软雅黑" w:eastAsia="微软雅黑" w:hAnsi="微软雅黑" w:cs="宋体" w:hint="eastAsia"/>
          <w:color w:val="888888"/>
          <w:kern w:val="0"/>
          <w:sz w:val="18"/>
          <w:szCs w:val="18"/>
        </w:rPr>
        <w:t xml:space="preserve"> 字号：[ </w:t>
      </w:r>
      <w:r w:rsidRPr="00824FA8">
        <w:rPr>
          <w:rFonts w:ascii="微软雅黑" w:eastAsia="微软雅黑" w:hAnsi="微软雅黑" w:cs="宋体" w:hint="eastAsia"/>
          <w:color w:val="888888"/>
          <w:kern w:val="0"/>
          <w:sz w:val="15"/>
          <w:szCs w:val="15"/>
        </w:rPr>
        <w:t>小</w:t>
      </w:r>
      <w:r w:rsidRPr="00824FA8">
        <w:rPr>
          <w:rFonts w:ascii="微软雅黑" w:eastAsia="微软雅黑" w:hAnsi="微软雅黑" w:cs="宋体" w:hint="eastAsia"/>
          <w:color w:val="FF0000"/>
          <w:kern w:val="0"/>
          <w:szCs w:val="21"/>
        </w:rPr>
        <w:t>中</w:t>
      </w:r>
      <w:r w:rsidRPr="00824FA8">
        <w:rPr>
          <w:rFonts w:ascii="微软雅黑" w:eastAsia="微软雅黑" w:hAnsi="微软雅黑" w:cs="宋体" w:hint="eastAsia"/>
          <w:color w:val="888888"/>
          <w:kern w:val="0"/>
          <w:sz w:val="24"/>
          <w:szCs w:val="24"/>
        </w:rPr>
        <w:t>大</w:t>
      </w:r>
      <w:r w:rsidRPr="00824FA8">
        <w:rPr>
          <w:rFonts w:ascii="微软雅黑" w:eastAsia="微软雅黑" w:hAnsi="微软雅黑" w:cs="宋体" w:hint="eastAsia"/>
          <w:color w:val="888888"/>
          <w:kern w:val="0"/>
          <w:sz w:val="18"/>
          <w:szCs w:val="18"/>
        </w:rPr>
        <w:t>]</w:t>
      </w:r>
      <w:r w:rsidRPr="00824FA8">
        <w:rPr>
          <w:rFonts w:ascii="微软雅黑" w:eastAsia="微软雅黑" w:hAnsi="微软雅黑" w:cs="宋体" w:hint="eastAsia"/>
          <w:color w:val="888888"/>
          <w:kern w:val="0"/>
          <w:sz w:val="18"/>
          <w:szCs w:val="18"/>
        </w:rPr>
        <w:t> </w:t>
      </w:r>
      <w:r w:rsidRPr="00824FA8">
        <w:rPr>
          <w:rFonts w:ascii="微软雅黑" w:eastAsia="微软雅黑" w:hAnsi="微软雅黑" w:cs="宋体" w:hint="eastAsia"/>
          <w:color w:val="888888"/>
          <w:kern w:val="0"/>
          <w:sz w:val="18"/>
          <w:szCs w:val="18"/>
        </w:rPr>
        <w:t> </w:t>
      </w:r>
      <w:hyperlink r:id="rId4" w:history="1">
        <w:r w:rsidRPr="00824FA8">
          <w:rPr>
            <w:rFonts w:ascii="微软雅黑" w:eastAsia="微软雅黑" w:hAnsi="微软雅黑" w:cs="宋体" w:hint="eastAsia"/>
            <w:color w:val="0000FF"/>
            <w:kern w:val="0"/>
            <w:sz w:val="18"/>
            <w:szCs w:val="18"/>
            <w:u w:val="single"/>
          </w:rPr>
          <w:t>[关闭]</w:t>
        </w:r>
      </w:hyperlink>
      <w:r w:rsidRPr="00824FA8">
        <w:rPr>
          <w:rFonts w:ascii="微软雅黑" w:eastAsia="微软雅黑" w:hAnsi="微软雅黑" w:cs="宋体" w:hint="eastAsia"/>
          <w:color w:val="888888"/>
          <w:kern w:val="0"/>
          <w:sz w:val="18"/>
          <w:szCs w:val="18"/>
        </w:rPr>
        <w:t> </w:t>
      </w:r>
      <w:r w:rsidRPr="00824FA8">
        <w:rPr>
          <w:rFonts w:ascii="微软雅黑" w:eastAsia="微软雅黑" w:hAnsi="微软雅黑" w:cs="宋体" w:hint="eastAsia"/>
          <w:i/>
          <w:iCs/>
          <w:color w:val="888888"/>
          <w:kern w:val="0"/>
          <w:sz w:val="18"/>
          <w:szCs w:val="18"/>
        </w:rPr>
        <w:t>视力保护色：       </w:t>
      </w:r>
    </w:p>
    <w:p w14:paraId="5A253086" w14:textId="77777777" w:rsidR="00824FA8" w:rsidRPr="00824FA8" w:rsidRDefault="00824FA8" w:rsidP="00824FA8">
      <w:pPr>
        <w:widowControl/>
        <w:wordWrap w:val="0"/>
        <w:jc w:val="center"/>
        <w:rPr>
          <w:rFonts w:ascii="微软雅黑" w:eastAsia="微软雅黑" w:hAnsi="微软雅黑" w:cs="宋体" w:hint="eastAsia"/>
          <w:color w:val="888888"/>
          <w:kern w:val="0"/>
          <w:sz w:val="18"/>
          <w:szCs w:val="18"/>
        </w:rPr>
      </w:pPr>
      <w:r w:rsidRPr="00824FA8">
        <w:rPr>
          <w:rFonts w:ascii="微软雅黑" w:eastAsia="微软雅黑" w:hAnsi="微软雅黑" w:cs="宋体" w:hint="eastAsia"/>
          <w:color w:val="888888"/>
          <w:kern w:val="0"/>
          <w:sz w:val="18"/>
          <w:szCs w:val="18"/>
        </w:rPr>
        <w:t>  </w:t>
      </w:r>
    </w:p>
    <w:p w14:paraId="5FC360C4" w14:textId="77777777" w:rsidR="00824FA8" w:rsidRPr="00824FA8" w:rsidRDefault="00824FA8" w:rsidP="00824FA8">
      <w:pPr>
        <w:widowControl/>
        <w:wordWrap w:val="0"/>
        <w:spacing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为充分发挥我省天然饮用水资源优势，推动天然饮用水产业持续快速健康发展，将天然饮用水产业培育</w:t>
      </w:r>
      <w:proofErr w:type="gramStart"/>
      <w:r w:rsidRPr="00824FA8">
        <w:rPr>
          <w:rFonts w:ascii="微软雅黑" w:eastAsia="微软雅黑" w:hAnsi="微软雅黑" w:cs="宋体" w:hint="eastAsia"/>
          <w:color w:val="333333"/>
          <w:kern w:val="0"/>
          <w:sz w:val="27"/>
          <w:szCs w:val="27"/>
        </w:rPr>
        <w:t>成全省</w:t>
      </w:r>
      <w:proofErr w:type="gramEnd"/>
      <w:r w:rsidRPr="00824FA8">
        <w:rPr>
          <w:rFonts w:ascii="微软雅黑" w:eastAsia="微软雅黑" w:hAnsi="微软雅黑" w:cs="宋体" w:hint="eastAsia"/>
          <w:color w:val="333333"/>
          <w:kern w:val="0"/>
          <w:sz w:val="27"/>
          <w:szCs w:val="27"/>
        </w:rPr>
        <w:t>新的经济增长点，经省政府领导同志同意，省政府办公厅近日印发《贵州省促进天然饮用水产业加快发展的意见》(以下简称意见)，要求各地各部门结合实际，认真贯彻执行。</w:t>
      </w:r>
    </w:p>
    <w:p w14:paraId="6564221B"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意见主要内容如下：</w:t>
      </w:r>
    </w:p>
    <w:p w14:paraId="4D7D5D05"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b/>
          <w:bCs/>
          <w:color w:val="333333"/>
          <w:kern w:val="0"/>
          <w:sz w:val="27"/>
          <w:szCs w:val="27"/>
        </w:rPr>
        <w:t>一、总体要求</w:t>
      </w:r>
    </w:p>
    <w:p w14:paraId="5D666248"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w:t>
      </w:r>
      <w:proofErr w:type="gramStart"/>
      <w:r w:rsidRPr="00824FA8">
        <w:rPr>
          <w:rFonts w:ascii="微软雅黑" w:eastAsia="微软雅黑" w:hAnsi="微软雅黑" w:cs="宋体" w:hint="eastAsia"/>
          <w:color w:val="333333"/>
          <w:kern w:val="0"/>
          <w:sz w:val="27"/>
          <w:szCs w:val="27"/>
        </w:rPr>
        <w:t>一</w:t>
      </w:r>
      <w:proofErr w:type="gramEnd"/>
      <w:r w:rsidRPr="00824FA8">
        <w:rPr>
          <w:rFonts w:ascii="微软雅黑" w:eastAsia="微软雅黑" w:hAnsi="微软雅黑" w:cs="宋体" w:hint="eastAsia"/>
          <w:color w:val="333333"/>
          <w:kern w:val="0"/>
          <w:sz w:val="27"/>
          <w:szCs w:val="27"/>
        </w:rPr>
        <w:t>)总体思路。深入贯彻习近平总书记系列重要讲话精神特别是对贵州工作的指示精神以及省第十二次党代会精神，牢固树立五大新发展理念，牢牢守住发展和生态两条底线，以我省优良生态资源禀赋为依托，以建设国家生态文明试验区、大数据综合试验区和内陆开放型经济试验区为契机，以创品牌、提品质、增品种、拓市场为重点，以现代消费趋势为引领，积极融入全省大扶贫、大数据、大生态战略行动以及大健康、大旅游等产业，强化创新发展、绿色发展、可持续发展，不断优化产业布局和产品结构，培育一批龙头企业，打造一批本土品牌，构建特色鲜明、配套完</w:t>
      </w:r>
      <w:r w:rsidRPr="00824FA8">
        <w:rPr>
          <w:rFonts w:ascii="微软雅黑" w:eastAsia="微软雅黑" w:hAnsi="微软雅黑" w:cs="宋体" w:hint="eastAsia"/>
          <w:color w:val="333333"/>
          <w:kern w:val="0"/>
          <w:sz w:val="27"/>
          <w:szCs w:val="27"/>
        </w:rPr>
        <w:lastRenderedPageBreak/>
        <w:t>备、竞争力强的现代天然饮用水产业体系，把我省打造成为全国重要的优质天然矿泉水主产区、天然饮用水产业集聚区。</w:t>
      </w:r>
    </w:p>
    <w:p w14:paraId="3BD5395A"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二)发展目标。全省天然饮用水产业规模不断壮大，产业结构不断优化，创新能力不断提高，企业竞争能力不断增强，在全国天然饮用水产业中的市场份额和影响力不断提升，打造成为全省特色优势产业中的“第六张名片”。到2020年，力争全省天然饮用水产量实现1300万吨以上，销售收入实现200亿元以上，培育形成5-6户十亿元级规模的龙头企业，打造2-3个本土知名品牌。</w:t>
      </w:r>
    </w:p>
    <w:p w14:paraId="7E05F953"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b/>
          <w:bCs/>
          <w:color w:val="333333"/>
          <w:kern w:val="0"/>
          <w:sz w:val="27"/>
          <w:szCs w:val="27"/>
        </w:rPr>
        <w:t>二、加快产业集聚，壮大产业规模</w:t>
      </w:r>
    </w:p>
    <w:p w14:paraId="463AD7DE"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w:t>
      </w:r>
      <w:proofErr w:type="gramStart"/>
      <w:r w:rsidRPr="00824FA8">
        <w:rPr>
          <w:rFonts w:ascii="微软雅黑" w:eastAsia="微软雅黑" w:hAnsi="微软雅黑" w:cs="宋体" w:hint="eastAsia"/>
          <w:color w:val="333333"/>
          <w:kern w:val="0"/>
          <w:sz w:val="27"/>
          <w:szCs w:val="27"/>
        </w:rPr>
        <w:t>一</w:t>
      </w:r>
      <w:proofErr w:type="gramEnd"/>
      <w:r w:rsidRPr="00824FA8">
        <w:rPr>
          <w:rFonts w:ascii="微软雅黑" w:eastAsia="微软雅黑" w:hAnsi="微软雅黑" w:cs="宋体" w:hint="eastAsia"/>
          <w:color w:val="333333"/>
          <w:kern w:val="0"/>
          <w:sz w:val="27"/>
          <w:szCs w:val="27"/>
        </w:rPr>
        <w:t>)优化产业布局。编制贵州省“十三五”天然饮用水产业发展规划，立足我省资源禀赋和产业基础，重点在天然矿泉水资源富集地区打造天然矿泉水产业群，支持各地依托当地天然水资源，因地制宜发展其他天然饮用水。</w:t>
      </w:r>
    </w:p>
    <w:p w14:paraId="5A783D15"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二)打造龙头企业。以省内天然饮用水产业规模以上企业为重点，鼓励企业通过市场化方式合资合作或者兼并重组，促进技术、人才、市场等资源向优势企业集中，提高产业集中度，实现规模化、集约化经营。加大招商引资力度，重点引进世界500强、中国500强和中国民营500强饮用水生产企业，广泛吸引国内外战略投资者和民间资本投资我省天然饮用水产业，高起点、高标准建设一批50万吨以上规模的优质项目。完善招商引资库，科学谋划、储备一批重点项目。鼓励采用水资源使用权入股等方式实施招商重组。</w:t>
      </w:r>
    </w:p>
    <w:p w14:paraId="51CC3BE0"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三)推进产业融合。围绕大扶贫战略行动，把天然饮用水产业发展作为推动新农村建设和农村产业转型升级的重要内容，与移民搬迁、生态农业等相结合。在贫困地区实施“润苗工程”，逐步在幼儿园、中小学推广健康饮水。围绕大数据战略行动，建立完善销售认证识别体系和产品溯源系</w:t>
      </w:r>
      <w:r w:rsidRPr="00824FA8">
        <w:rPr>
          <w:rFonts w:ascii="微软雅黑" w:eastAsia="微软雅黑" w:hAnsi="微软雅黑" w:cs="宋体" w:hint="eastAsia"/>
          <w:color w:val="333333"/>
          <w:kern w:val="0"/>
          <w:sz w:val="27"/>
          <w:szCs w:val="27"/>
        </w:rPr>
        <w:lastRenderedPageBreak/>
        <w:t>统，强化水源动态监测和取水监控，形成集生产、销售、消费等环节于一体的大数据管理系统。围绕大健康产业发展，积极开发医疗用水、保健用水等健康水，发展矿泉水温泉养生度假产业。围绕大生态产业发展，加大水源点保护，提高水资源开发效率，推动天然饮用水产业绿色发展。围绕大旅游产业发展，结合“5个100工程”建设，促进水源地建设和水资源开发与周边旅游景区、特色小镇等融合发展。</w:t>
      </w:r>
    </w:p>
    <w:p w14:paraId="2321D3C6"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四)强化产业配套。积极发展与天然饮用水产业相关的中介技术服务、生产性服务、科研开发、设计包装、经济代理等配套产业，支持省内设备生产企业研发生产天然饮用水设备，促进全产业链发展，提高产业配套本地化率。建立完善天然饮用水物流配送体系，努力解决好“最后一公里”配送难题。</w:t>
      </w:r>
    </w:p>
    <w:p w14:paraId="63C60CC6"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b/>
          <w:bCs/>
          <w:color w:val="333333"/>
          <w:kern w:val="0"/>
          <w:sz w:val="27"/>
          <w:szCs w:val="27"/>
        </w:rPr>
        <w:t>三、实施“三品”工程，提升整体形象</w:t>
      </w:r>
    </w:p>
    <w:p w14:paraId="3FE4EA76"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w:t>
      </w:r>
      <w:proofErr w:type="gramStart"/>
      <w:r w:rsidRPr="00824FA8">
        <w:rPr>
          <w:rFonts w:ascii="微软雅黑" w:eastAsia="微软雅黑" w:hAnsi="微软雅黑" w:cs="宋体" w:hint="eastAsia"/>
          <w:color w:val="333333"/>
          <w:kern w:val="0"/>
          <w:sz w:val="27"/>
          <w:szCs w:val="27"/>
        </w:rPr>
        <w:t>一</w:t>
      </w:r>
      <w:proofErr w:type="gramEnd"/>
      <w:r w:rsidRPr="00824FA8">
        <w:rPr>
          <w:rFonts w:ascii="微软雅黑" w:eastAsia="微软雅黑" w:hAnsi="微软雅黑" w:cs="宋体" w:hint="eastAsia"/>
          <w:color w:val="333333"/>
          <w:kern w:val="0"/>
          <w:sz w:val="27"/>
          <w:szCs w:val="27"/>
        </w:rPr>
        <w:t>)创品牌。加强品牌建设，突出天然饮用水的文化内涵和生态理念，打造贵州天然饮用水的公共品牌和生态标签，塑造“好水贵天然”的整体品牌形象，形成一批驰名商标、著名商标、贵州名牌产品和地理标志品牌为引领的品牌格局。支持有条件的地区申报天然饮用水地理标志。</w:t>
      </w:r>
    </w:p>
    <w:p w14:paraId="4C03853C"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二)提品质。鼓励行业协会、中介组织和企业研究制订具有贵州特色且严于国家食品安全标准的天然饮用水地方标准。支持省内企业参与国际有关组织开展的饮用水水质评价,对达到欧盟等高端矿泉水水质标准的品牌给予奖励。支持天然饮用水企业建立技术研发中心。结合“千企改造”工程实施，支持企业开展技术创新和改造升级。规范天然饮用水企业的生产经营行为，加强生产、流通、销售全流程监管。</w:t>
      </w:r>
    </w:p>
    <w:p w14:paraId="3E1B3CDE"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(三)增品种。推动省内科</w:t>
      </w:r>
      <w:proofErr w:type="gramStart"/>
      <w:r w:rsidRPr="00824FA8">
        <w:rPr>
          <w:rFonts w:ascii="微软雅黑" w:eastAsia="微软雅黑" w:hAnsi="微软雅黑" w:cs="宋体" w:hint="eastAsia"/>
          <w:color w:val="333333"/>
          <w:kern w:val="0"/>
          <w:sz w:val="27"/>
          <w:szCs w:val="27"/>
        </w:rPr>
        <w:t>研</w:t>
      </w:r>
      <w:proofErr w:type="gramEnd"/>
      <w:r w:rsidRPr="00824FA8">
        <w:rPr>
          <w:rFonts w:ascii="微软雅黑" w:eastAsia="微软雅黑" w:hAnsi="微软雅黑" w:cs="宋体" w:hint="eastAsia"/>
          <w:color w:val="333333"/>
          <w:kern w:val="0"/>
          <w:sz w:val="27"/>
          <w:szCs w:val="27"/>
        </w:rPr>
        <w:t>机构与企业加强合作，依托我省优质天然矿泉水资源，研发高端矿泉水产品，延伸开发医疗保健、美容养生、孕婴养护等功能型产品，丰富产品品类，提高产品附加值。</w:t>
      </w:r>
    </w:p>
    <w:p w14:paraId="35FAE3F8"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b/>
          <w:bCs/>
          <w:color w:val="333333"/>
          <w:kern w:val="0"/>
          <w:sz w:val="27"/>
          <w:szCs w:val="27"/>
        </w:rPr>
        <w:lastRenderedPageBreak/>
        <w:t>四、注重资源保护，促进绿色发展</w:t>
      </w:r>
    </w:p>
    <w:p w14:paraId="75087A55"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w:t>
      </w:r>
      <w:proofErr w:type="gramStart"/>
      <w:r w:rsidRPr="00824FA8">
        <w:rPr>
          <w:rFonts w:ascii="微软雅黑" w:eastAsia="微软雅黑" w:hAnsi="微软雅黑" w:cs="宋体" w:hint="eastAsia"/>
          <w:color w:val="333333"/>
          <w:kern w:val="0"/>
          <w:sz w:val="27"/>
          <w:szCs w:val="27"/>
        </w:rPr>
        <w:t>一</w:t>
      </w:r>
      <w:proofErr w:type="gramEnd"/>
      <w:r w:rsidRPr="00824FA8">
        <w:rPr>
          <w:rFonts w:ascii="微软雅黑" w:eastAsia="微软雅黑" w:hAnsi="微软雅黑" w:cs="宋体" w:hint="eastAsia"/>
          <w:color w:val="333333"/>
          <w:kern w:val="0"/>
          <w:sz w:val="27"/>
          <w:szCs w:val="27"/>
        </w:rPr>
        <w:t>)开展水资源普查。对全省天然矿泉水资源量、空间分布、质量、类型等进行详细调查评估，全面掌握可开发利用的矿泉水水源地。对重点水源地开展专项勘查评价工作，为规模化开采天然饮用水提供依据。建立全省天然饮用水资源信息动态管理平台，对资源数据进行动态储存、分析、调度和运用。</w:t>
      </w:r>
    </w:p>
    <w:p w14:paraId="6149F587"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二)加强水源地保护。划定天然饮用水源保护区，禁止在一级水源保护区范围内建设非天然饮用水产业项目和保护水源无关的建设项目。在天然饮用水源保护区内，需进一步划定禁止开发区、限制开发区，实现天然饮用水资源有序开发，水资源开发量不得与水资源红线相抵触。天然饮用水产业项目前期选址需按规定征求环境保护、水利、林业等相关部门意见。积极争取国家对乌江、北盘江、南盘江、沅江、红水河、柳江、赤水河、牛栏江、横江等水系水资源与生态环境保护的政策、资金、项目支持。</w:t>
      </w:r>
    </w:p>
    <w:p w14:paraId="6D5D368C"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三)加强行业管理。严格天然矿泉水、天然泉水生产企业准入标准，落实环境保护要求，提高产业集中度，遏制天然饮用水资源低效开发和产能低效利用。原则上新建和改扩建项目规模不得低于10万吨。加强对企业水源开采和生产过程的监管，禁止超量开采。督促企业依法完善相关手续，加大水源地防护工程投资建设力度。</w:t>
      </w:r>
    </w:p>
    <w:p w14:paraId="2C029864"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b/>
          <w:bCs/>
          <w:color w:val="333333"/>
          <w:kern w:val="0"/>
          <w:sz w:val="27"/>
          <w:szCs w:val="27"/>
        </w:rPr>
        <w:t>五、创新营销方式，强化市场开拓</w:t>
      </w:r>
    </w:p>
    <w:p w14:paraId="7A9CEDCB"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w:t>
      </w:r>
      <w:proofErr w:type="gramStart"/>
      <w:r w:rsidRPr="00824FA8">
        <w:rPr>
          <w:rFonts w:ascii="微软雅黑" w:eastAsia="微软雅黑" w:hAnsi="微软雅黑" w:cs="宋体" w:hint="eastAsia"/>
          <w:color w:val="333333"/>
          <w:kern w:val="0"/>
          <w:sz w:val="27"/>
          <w:szCs w:val="27"/>
        </w:rPr>
        <w:t>一</w:t>
      </w:r>
      <w:proofErr w:type="gramEnd"/>
      <w:r w:rsidRPr="00824FA8">
        <w:rPr>
          <w:rFonts w:ascii="微软雅黑" w:eastAsia="微软雅黑" w:hAnsi="微软雅黑" w:cs="宋体" w:hint="eastAsia"/>
          <w:color w:val="333333"/>
          <w:kern w:val="0"/>
          <w:sz w:val="27"/>
          <w:szCs w:val="27"/>
        </w:rPr>
        <w:t>)丰富省内销售渠道。鼓励全省各类机关事业单位、国有企业、学校、社区及各种大型展会、活动使用我省天然饮用水产品。推动我省天然饮用水公共品牌系列产品入驻省内旅游景区、高速公路服务区、高铁站、机场、大型商超、酒店、社区便利店等。在有条件的地区探索开展天然饮用水直饮工程，实现天然饮用水直接入户。</w:t>
      </w:r>
    </w:p>
    <w:p w14:paraId="715B9129"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lastRenderedPageBreak/>
        <w:t>(二)拓展对外销售渠道。持续办好贵州水产业博览会，重点推介我省天然饮用水产品。委托行业协会和中介机构，积极组织省内天然饮用水企业参加德国科隆食品及饮料博览会、中国食品博览会、中国国际食品及饮料博览会、中国国际高端饮用水产业博览会、中国(广州)国际高端饮用水产业博览会等国内外知名展会，提高贵州天然饮用水产品的市场知名度。支持我省天然饮用水企业进入阿里巴巴、淘宝、京东等大型电商平台。对我省天然饮用水出口产品，在出口企业备案、出口产品质量监控、国外质量信息反馈等方面加强政策指导和技术支持。</w:t>
      </w:r>
    </w:p>
    <w:p w14:paraId="60DCBB04"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b/>
          <w:bCs/>
          <w:color w:val="333333"/>
          <w:kern w:val="0"/>
          <w:sz w:val="27"/>
          <w:szCs w:val="27"/>
        </w:rPr>
        <w:t>六、加大政策支持，优化发展环境</w:t>
      </w:r>
    </w:p>
    <w:p w14:paraId="0EFF82AA"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w:t>
      </w:r>
      <w:proofErr w:type="gramStart"/>
      <w:r w:rsidRPr="00824FA8">
        <w:rPr>
          <w:rFonts w:ascii="微软雅黑" w:eastAsia="微软雅黑" w:hAnsi="微软雅黑" w:cs="宋体" w:hint="eastAsia"/>
          <w:color w:val="333333"/>
          <w:kern w:val="0"/>
          <w:sz w:val="27"/>
          <w:szCs w:val="27"/>
        </w:rPr>
        <w:t>一</w:t>
      </w:r>
      <w:proofErr w:type="gramEnd"/>
      <w:r w:rsidRPr="00824FA8">
        <w:rPr>
          <w:rFonts w:ascii="微软雅黑" w:eastAsia="微软雅黑" w:hAnsi="微软雅黑" w:cs="宋体" w:hint="eastAsia"/>
          <w:color w:val="333333"/>
          <w:kern w:val="0"/>
          <w:sz w:val="27"/>
          <w:szCs w:val="27"/>
        </w:rPr>
        <w:t>)加大土地及矿业权支持。投资额3</w:t>
      </w:r>
      <w:proofErr w:type="gramStart"/>
      <w:r w:rsidRPr="00824FA8">
        <w:rPr>
          <w:rFonts w:ascii="微软雅黑" w:eastAsia="微软雅黑" w:hAnsi="微软雅黑" w:cs="宋体" w:hint="eastAsia"/>
          <w:color w:val="333333"/>
          <w:kern w:val="0"/>
          <w:sz w:val="27"/>
          <w:szCs w:val="27"/>
        </w:rPr>
        <w:t>千万</w:t>
      </w:r>
      <w:proofErr w:type="gramEnd"/>
      <w:r w:rsidRPr="00824FA8">
        <w:rPr>
          <w:rFonts w:ascii="微软雅黑" w:eastAsia="微软雅黑" w:hAnsi="微软雅黑" w:cs="宋体" w:hint="eastAsia"/>
          <w:color w:val="333333"/>
          <w:kern w:val="0"/>
          <w:sz w:val="27"/>
          <w:szCs w:val="27"/>
        </w:rPr>
        <w:t>美元或5亿元人民币以上的项目，在建设用地计划指标上予以优先保障。开发国有荒山、荒地、荒滩从事天然饮用水生产的，土地使用权按规定程序确定给开发单位或个人长期使用，使用期限不超过50年。以</w:t>
      </w:r>
      <w:proofErr w:type="gramStart"/>
      <w:r w:rsidRPr="00824FA8">
        <w:rPr>
          <w:rFonts w:ascii="微软雅黑" w:eastAsia="微软雅黑" w:hAnsi="微软雅黑" w:cs="宋体" w:hint="eastAsia"/>
          <w:color w:val="333333"/>
          <w:kern w:val="0"/>
          <w:sz w:val="27"/>
          <w:szCs w:val="27"/>
        </w:rPr>
        <w:t>招拍挂方式</w:t>
      </w:r>
      <w:proofErr w:type="gramEnd"/>
      <w:r w:rsidRPr="00824FA8">
        <w:rPr>
          <w:rFonts w:ascii="微软雅黑" w:eastAsia="微软雅黑" w:hAnsi="微软雅黑" w:cs="宋体" w:hint="eastAsia"/>
          <w:color w:val="333333"/>
          <w:kern w:val="0"/>
          <w:sz w:val="27"/>
          <w:szCs w:val="27"/>
        </w:rPr>
        <w:t>出让矿泉水矿业权，鼓励各类企业公平竞争，依法参与我省天然矿泉水勘查和开发。以</w:t>
      </w:r>
      <w:proofErr w:type="gramStart"/>
      <w:r w:rsidRPr="00824FA8">
        <w:rPr>
          <w:rFonts w:ascii="微软雅黑" w:eastAsia="微软雅黑" w:hAnsi="微软雅黑" w:cs="宋体" w:hint="eastAsia"/>
          <w:color w:val="333333"/>
          <w:kern w:val="0"/>
          <w:sz w:val="27"/>
          <w:szCs w:val="27"/>
        </w:rPr>
        <w:t>招拍挂方式</w:t>
      </w:r>
      <w:proofErr w:type="gramEnd"/>
      <w:r w:rsidRPr="00824FA8">
        <w:rPr>
          <w:rFonts w:ascii="微软雅黑" w:eastAsia="微软雅黑" w:hAnsi="微软雅黑" w:cs="宋体" w:hint="eastAsia"/>
          <w:color w:val="333333"/>
          <w:kern w:val="0"/>
          <w:sz w:val="27"/>
          <w:szCs w:val="27"/>
        </w:rPr>
        <w:t>取得的矿业权，首次缴纳矿业权出让收益不低于一定比例，其余部分在采矿权有效期内分年度缴纳。积极探索从按审批</w:t>
      </w:r>
      <w:proofErr w:type="gramStart"/>
      <w:r w:rsidRPr="00824FA8">
        <w:rPr>
          <w:rFonts w:ascii="微软雅黑" w:eastAsia="微软雅黑" w:hAnsi="微软雅黑" w:cs="宋体" w:hint="eastAsia"/>
          <w:color w:val="333333"/>
          <w:kern w:val="0"/>
          <w:sz w:val="27"/>
          <w:szCs w:val="27"/>
        </w:rPr>
        <w:t>量收费</w:t>
      </w:r>
      <w:proofErr w:type="gramEnd"/>
      <w:r w:rsidRPr="00824FA8">
        <w:rPr>
          <w:rFonts w:ascii="微软雅黑" w:eastAsia="微软雅黑" w:hAnsi="微软雅黑" w:cs="宋体" w:hint="eastAsia"/>
          <w:color w:val="333333"/>
          <w:kern w:val="0"/>
          <w:sz w:val="27"/>
          <w:szCs w:val="27"/>
        </w:rPr>
        <w:t>向按实际开采</w:t>
      </w:r>
      <w:proofErr w:type="gramStart"/>
      <w:r w:rsidRPr="00824FA8">
        <w:rPr>
          <w:rFonts w:ascii="微软雅黑" w:eastAsia="微软雅黑" w:hAnsi="微软雅黑" w:cs="宋体" w:hint="eastAsia"/>
          <w:color w:val="333333"/>
          <w:kern w:val="0"/>
          <w:sz w:val="27"/>
          <w:szCs w:val="27"/>
        </w:rPr>
        <w:t>量收费</w:t>
      </w:r>
      <w:proofErr w:type="gramEnd"/>
      <w:r w:rsidRPr="00824FA8">
        <w:rPr>
          <w:rFonts w:ascii="微软雅黑" w:eastAsia="微软雅黑" w:hAnsi="微软雅黑" w:cs="宋体" w:hint="eastAsia"/>
          <w:color w:val="333333"/>
          <w:kern w:val="0"/>
          <w:sz w:val="27"/>
          <w:szCs w:val="27"/>
        </w:rPr>
        <w:t>转变。</w:t>
      </w:r>
    </w:p>
    <w:p w14:paraId="7B44710C"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二)加大财税支持。省工业和信息化发展专项资金支持我省天然饮用水重点企业进行项目建设、改造升级等，水利、科技、商务等其他省级有关专项资金重点支持水源地建设、水源点保护，以及企业兼并重组、市场开拓、新产品研发、上市等。鼓励省内天然饮用水产品出省销售，按规定落实供给侧结构性改革关于货运车辆通行费优惠有关政策。结合城区交通管理实际，研究制订天然饮用水产品货运车辆在限定时间内通行城区的规定。积极探索跨地区企业兼并重组利益共享机制，妥善解决财税利益分成等问题，实现成果共享。对涉及天然饮用水企业的行政事业性收费，收费</w:t>
      </w:r>
      <w:r w:rsidRPr="00824FA8">
        <w:rPr>
          <w:rFonts w:ascii="微软雅黑" w:eastAsia="微软雅黑" w:hAnsi="微软雅黑" w:cs="宋体" w:hint="eastAsia"/>
          <w:color w:val="333333"/>
          <w:kern w:val="0"/>
          <w:sz w:val="27"/>
          <w:szCs w:val="27"/>
        </w:rPr>
        <w:lastRenderedPageBreak/>
        <w:t>标准有上下限幅度的，一律按下限标准执行。对非地下水的水资源开发利用，属于水资源费使用范围的项目，可通过项目申报方式给予支持。</w:t>
      </w:r>
    </w:p>
    <w:p w14:paraId="0BB1C988"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三)加大金融支持。加快推进天然饮用水企业信用制度建设，运用省中小企业发展基金等投融资工具，提供低费率的融资增信服务。鼓励金融机构为天然饮用水产业发展量身打造信贷产品和服务模式。支持企业以固定资产、存货、不动产等评估作价用于抵押贷款和以销售订单、应收账款、仓单等质押贷款。支持有条件的企业发债融资，或在主板、“新三板”和贵州省股权金融资产交易中心有限公司挂牌融资。</w:t>
      </w:r>
    </w:p>
    <w:p w14:paraId="3E8D16BC"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四)加大人才培养支持。积极开展校企合作，鼓励省内大专院校、职业教育机构增设饮用水产业相关专业，加强天然饮用水职业技能培训，为天然饮用水企业提供包括人才招聘、劳务派遣、职工培训等方面的一站式服务，着力解决招(用)工难问题。鼓励优秀人才创新创业，对年销售收入达到5亿元、10亿元以上的企业，由省工业和信息化发展专项资金对企业分别给予一次性30万元、50万元奖励。国内外行业领军人才在我省新办饮用水企业，投产后增加值达到2000万元以上的，由省工业和信息化发展专项资金对个人给予一次性20万元奖励。</w:t>
      </w:r>
    </w:p>
    <w:p w14:paraId="45AE0A34"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五)加大政府服务力度。建立天然饮用水产业项目快捷联审机制，提高办事效率，实现资源开发审查、产品生产许可等相关审批程序限时办结。加快构建集现代仓储物流、法律咨询、知识产权于一体的现代服务体系，提升检验检测服务保障能力。充分发挥行业协会的纽带作用，为企业提供政策信息、行业咨询、技术研讨、营销策划、对外交流等服务。</w:t>
      </w:r>
    </w:p>
    <w:p w14:paraId="40CA59E9"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b/>
          <w:bCs/>
          <w:color w:val="333333"/>
          <w:kern w:val="0"/>
          <w:sz w:val="27"/>
          <w:szCs w:val="27"/>
        </w:rPr>
        <w:t>七、强化组织实施，推动工作落实</w:t>
      </w:r>
    </w:p>
    <w:p w14:paraId="2DE82480"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w:t>
      </w:r>
      <w:proofErr w:type="gramStart"/>
      <w:r w:rsidRPr="00824FA8">
        <w:rPr>
          <w:rFonts w:ascii="微软雅黑" w:eastAsia="微软雅黑" w:hAnsi="微软雅黑" w:cs="宋体" w:hint="eastAsia"/>
          <w:color w:val="333333"/>
          <w:kern w:val="0"/>
          <w:sz w:val="27"/>
          <w:szCs w:val="27"/>
        </w:rPr>
        <w:t>一</w:t>
      </w:r>
      <w:proofErr w:type="gramEnd"/>
      <w:r w:rsidRPr="00824FA8">
        <w:rPr>
          <w:rFonts w:ascii="微软雅黑" w:eastAsia="微软雅黑" w:hAnsi="微软雅黑" w:cs="宋体" w:hint="eastAsia"/>
          <w:color w:val="333333"/>
          <w:kern w:val="0"/>
          <w:sz w:val="27"/>
          <w:szCs w:val="27"/>
        </w:rPr>
        <w:t>)加强统筹协调。省经济和信息化委要加强对全省天然饮用水产业发展的统筹协调，指导各市(州)、贵安新区抓紧编制加快天然饮用水产业发展的工作方案，确保本意</w:t>
      </w:r>
      <w:proofErr w:type="gramStart"/>
      <w:r w:rsidRPr="00824FA8">
        <w:rPr>
          <w:rFonts w:ascii="微软雅黑" w:eastAsia="微软雅黑" w:hAnsi="微软雅黑" w:cs="宋体" w:hint="eastAsia"/>
          <w:color w:val="333333"/>
          <w:kern w:val="0"/>
          <w:sz w:val="27"/>
          <w:szCs w:val="27"/>
        </w:rPr>
        <w:t>见明确</w:t>
      </w:r>
      <w:proofErr w:type="gramEnd"/>
      <w:r w:rsidRPr="00824FA8">
        <w:rPr>
          <w:rFonts w:ascii="微软雅黑" w:eastAsia="微软雅黑" w:hAnsi="微软雅黑" w:cs="宋体" w:hint="eastAsia"/>
          <w:color w:val="333333"/>
          <w:kern w:val="0"/>
          <w:sz w:val="27"/>
          <w:szCs w:val="27"/>
        </w:rPr>
        <w:t>的各项目标和任务落到实处。充分发挥贵州</w:t>
      </w:r>
      <w:r w:rsidRPr="00824FA8">
        <w:rPr>
          <w:rFonts w:ascii="微软雅黑" w:eastAsia="微软雅黑" w:hAnsi="微软雅黑" w:cs="宋体" w:hint="eastAsia"/>
          <w:color w:val="333333"/>
          <w:kern w:val="0"/>
          <w:sz w:val="27"/>
          <w:szCs w:val="27"/>
        </w:rPr>
        <w:lastRenderedPageBreak/>
        <w:t>省天然饮用水行业协会的纽带和桥梁作用，构建信息交流平台，帮助企业对接技术、市场资源，促进产业更好更快发展。</w:t>
      </w:r>
    </w:p>
    <w:p w14:paraId="3DCD08B5"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二)强化宣传引导。加大对“好水贵天然”的整体宣传推介，充分利用电视、报刊、网络、移动通信等多种渠道，以及重要交通沿线、旅游景区等场所，广泛深入宣传我省天然饮用水公共品牌，提升品牌知名度和美誉度。加强矿泉水的养生、健康理念宣传力度，引导群众建立科学健康的饮水观念。</w:t>
      </w:r>
    </w:p>
    <w:p w14:paraId="7DD3E928"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三)建立统计体系。建立健全天然饮用水产业统计体系，科学设定饮用水行业重点统计指标和范围，提高统计监测的针对性和可操作性，确保数据真实、准确。要加强产业运行动态监测，定期发布行业信息，科学指导行业持续健康发展。</w:t>
      </w:r>
    </w:p>
    <w:p w14:paraId="45A4A8D4"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四)严格执法监管。严格执行国家关于饮用水的水源水质、取水点、设施设备、加工规程、产品检测等管理规定，加强对生产、流通、销售等环节的监管，依法严厉打击违法违规行为和假冒伪劣产品。建立健全企业质量安全事故、失信信息公示和惩罚制度。</w:t>
      </w:r>
    </w:p>
    <w:p w14:paraId="58EDAC40" w14:textId="77777777" w:rsidR="00824FA8" w:rsidRPr="00824FA8" w:rsidRDefault="00824FA8" w:rsidP="00824FA8">
      <w:pPr>
        <w:widowControl/>
        <w:wordWrap w:val="0"/>
        <w:spacing w:before="225" w:line="450" w:lineRule="atLeast"/>
        <w:ind w:firstLine="480"/>
        <w:jc w:val="left"/>
        <w:rPr>
          <w:rFonts w:ascii="微软雅黑" w:eastAsia="微软雅黑" w:hAnsi="微软雅黑" w:cs="宋体" w:hint="eastAsia"/>
          <w:color w:val="333333"/>
          <w:kern w:val="0"/>
          <w:sz w:val="27"/>
          <w:szCs w:val="27"/>
        </w:rPr>
      </w:pPr>
      <w:r w:rsidRPr="00824FA8">
        <w:rPr>
          <w:rFonts w:ascii="微软雅黑" w:eastAsia="微软雅黑" w:hAnsi="微软雅黑" w:cs="宋体" w:hint="eastAsia"/>
          <w:color w:val="333333"/>
          <w:kern w:val="0"/>
          <w:sz w:val="27"/>
          <w:szCs w:val="27"/>
        </w:rPr>
        <w:t>意见还对各项工作任务的责任单位作了明确。</w:t>
      </w:r>
    </w:p>
    <w:p w14:paraId="4F09E644" w14:textId="77777777" w:rsidR="00087423" w:rsidRPr="00824FA8" w:rsidRDefault="00087423"/>
    <w:sectPr w:rsidR="00087423" w:rsidRPr="00824FA8" w:rsidSect="005921A0">
      <w:pgSz w:w="11907" w:h="16840" w:code="9"/>
      <w:pgMar w:top="2098" w:right="1474" w:bottom="1985" w:left="1588" w:header="851" w:footer="992" w:gutter="0"/>
      <w:cols w:space="425"/>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FA8"/>
    <w:rsid w:val="00087423"/>
    <w:rsid w:val="000946FF"/>
    <w:rsid w:val="005921A0"/>
    <w:rsid w:val="00824FA8"/>
    <w:rsid w:val="0093378F"/>
    <w:rsid w:val="00CE6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5A676"/>
  <w15:chartTrackingRefBased/>
  <w15:docId w15:val="{7692BDFD-7A4B-4256-AC71-CC40835A5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24FA8"/>
    <w:rPr>
      <w:b/>
      <w:bCs/>
    </w:rPr>
  </w:style>
  <w:style w:type="character" w:customStyle="1" w:styleId="fwltj">
    <w:name w:val="fwltj"/>
    <w:basedOn w:val="a0"/>
    <w:rsid w:val="00824FA8"/>
  </w:style>
  <w:style w:type="character" w:customStyle="1" w:styleId="smallfont">
    <w:name w:val="smallfont"/>
    <w:basedOn w:val="a0"/>
    <w:rsid w:val="00824FA8"/>
  </w:style>
  <w:style w:type="character" w:customStyle="1" w:styleId="medfont">
    <w:name w:val="medfont"/>
    <w:basedOn w:val="a0"/>
    <w:rsid w:val="00824FA8"/>
  </w:style>
  <w:style w:type="character" w:customStyle="1" w:styleId="largefont">
    <w:name w:val="largefont"/>
    <w:basedOn w:val="a0"/>
    <w:rsid w:val="00824FA8"/>
  </w:style>
  <w:style w:type="character" w:customStyle="1" w:styleId="close">
    <w:name w:val="close"/>
    <w:basedOn w:val="a0"/>
    <w:rsid w:val="00824FA8"/>
  </w:style>
  <w:style w:type="character" w:styleId="a4">
    <w:name w:val="Hyperlink"/>
    <w:basedOn w:val="a0"/>
    <w:uiPriority w:val="99"/>
    <w:semiHidden/>
    <w:unhideWhenUsed/>
    <w:rsid w:val="00824FA8"/>
    <w:rPr>
      <w:color w:val="0000FF"/>
      <w:u w:val="single"/>
    </w:rPr>
  </w:style>
  <w:style w:type="paragraph" w:styleId="a5">
    <w:name w:val="Normal (Web)"/>
    <w:basedOn w:val="a"/>
    <w:uiPriority w:val="99"/>
    <w:semiHidden/>
    <w:unhideWhenUsed/>
    <w:rsid w:val="00824FA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3922200">
      <w:bodyDiv w:val="1"/>
      <w:marLeft w:val="0"/>
      <w:marRight w:val="0"/>
      <w:marTop w:val="0"/>
      <w:marBottom w:val="0"/>
      <w:divBdr>
        <w:top w:val="none" w:sz="0" w:space="0" w:color="auto"/>
        <w:left w:val="none" w:sz="0" w:space="0" w:color="auto"/>
        <w:bottom w:val="none" w:sz="0" w:space="0" w:color="auto"/>
        <w:right w:val="none" w:sz="0" w:space="0" w:color="auto"/>
      </w:divBdr>
      <w:divsChild>
        <w:div w:id="677124809">
          <w:marLeft w:val="0"/>
          <w:marRight w:val="0"/>
          <w:marTop w:val="0"/>
          <w:marBottom w:val="0"/>
          <w:divBdr>
            <w:top w:val="single" w:sz="6" w:space="0" w:color="CCCCCC"/>
            <w:left w:val="single" w:sz="6" w:space="15" w:color="CCCCCC"/>
            <w:bottom w:val="single" w:sz="6" w:space="8" w:color="CCCCCC"/>
            <w:right w:val="single" w:sz="6" w:space="15" w:color="CCCCCC"/>
          </w:divBdr>
          <w:divsChild>
            <w:div w:id="1718046575">
              <w:marLeft w:val="0"/>
              <w:marRight w:val="0"/>
              <w:marTop w:val="120"/>
              <w:marBottom w:val="0"/>
              <w:divBdr>
                <w:top w:val="none" w:sz="0" w:space="0" w:color="auto"/>
                <w:left w:val="none" w:sz="0" w:space="0" w:color="auto"/>
                <w:bottom w:val="none" w:sz="0" w:space="0" w:color="auto"/>
                <w:right w:val="none" w:sz="0" w:space="0" w:color="auto"/>
              </w:divBdr>
              <w:divsChild>
                <w:div w:id="55712542">
                  <w:marLeft w:val="0"/>
                  <w:marRight w:val="0"/>
                  <w:marTop w:val="150"/>
                  <w:marBottom w:val="0"/>
                  <w:divBdr>
                    <w:top w:val="none" w:sz="0" w:space="0" w:color="auto"/>
                    <w:left w:val="none" w:sz="0" w:space="0" w:color="auto"/>
                    <w:bottom w:val="none" w:sz="0" w:space="0" w:color="auto"/>
                    <w:right w:val="none" w:sz="0" w:space="0" w:color="auto"/>
                  </w:divBdr>
                  <w:divsChild>
                    <w:div w:id="54795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740571">
              <w:marLeft w:val="0"/>
              <w:marRight w:val="0"/>
              <w:marTop w:val="300"/>
              <w:marBottom w:val="0"/>
              <w:divBdr>
                <w:top w:val="none" w:sz="0" w:space="0" w:color="auto"/>
                <w:left w:val="none" w:sz="0" w:space="0" w:color="auto"/>
                <w:bottom w:val="single" w:sz="6" w:space="0" w:color="EEEEEE"/>
                <w:right w:val="none" w:sz="0" w:space="0" w:color="auto"/>
              </w:divBdr>
              <w:divsChild>
                <w:div w:id="18555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window.close()"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711</Words>
  <Characters>4054</Characters>
  <Application>Microsoft Office Word</Application>
  <DocSecurity>0</DocSecurity>
  <Lines>33</Lines>
  <Paragraphs>9</Paragraphs>
  <ScaleCrop>false</ScaleCrop>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dc:creator>
  <cp:keywords/>
  <dc:description/>
  <cp:lastModifiedBy>jy</cp:lastModifiedBy>
  <cp:revision>1</cp:revision>
  <dcterms:created xsi:type="dcterms:W3CDTF">2024-06-12T14:55:00Z</dcterms:created>
  <dcterms:modified xsi:type="dcterms:W3CDTF">2024-06-12T14:55:00Z</dcterms:modified>
</cp:coreProperties>
</file>